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rFonts w:ascii="Courier New" w:hAnsi="Courier New" w:cs="Courier New"/>
          <w:sz w:val="20"/>
          <w:szCs w:val="20"/>
        </w:rPr>
      </w:pPr>
      <w:r>
        <w:rPr/>
      </w:r>
    </w:p>
    <w:p>
      <w:pPr>
        <w:pStyle w:val="Normal"/>
        <w:rPr>
          <w:b/>
          <w:b/>
          <w:bCs/>
          <w:highlight w:val="none"/>
          <w:shd w:fill="FFFF00" w:val="clear"/>
        </w:rPr>
      </w:pPr>
      <w:r>
        <w:rPr>
          <w:b/>
          <w:bCs/>
          <w:shd w:fill="auto" w:val="clear"/>
        </w:rPr>
        <w:tab/>
        <w:tab/>
        <w:tab/>
        <w:tab/>
      </w:r>
      <w:r>
        <w:rPr>
          <w:b/>
          <w:bCs/>
          <w:shd w:fill="FFFF00" w:val="clear"/>
        </w:rPr>
        <w:t xml:space="preserve">2. </w:t>
      </w:r>
      <w:r>
        <w:rPr>
          <w:b w:val="false"/>
          <w:bCs w:val="false"/>
          <w:shd w:fill="FFFF00" w:val="clear"/>
        </w:rPr>
        <w:t xml:space="preserve">The “apply” portion loops through the mdd </w:t>
        <w:tab/>
      </w:r>
      <w:r>
        <w:rPr>
          <w:b w:val="false"/>
          <w:bCs w:val="false"/>
          <w:shd w:fill="auto" w:val="clear"/>
        </w:rPr>
        <w:tab/>
        <w:tab/>
        <w:tab/>
        <w:tab/>
        <w:tab/>
      </w:r>
      <w:r>
        <w:rPr>
          <w:b w:val="false"/>
          <w:bCs w:val="false"/>
          <w:shd w:fill="FFFF00" w:val="clear"/>
        </w:rPr>
        <w:t xml:space="preserve">expression data rows that have undergone </w:t>
        <w:tab/>
      </w:r>
      <w:r>
        <w:rPr>
          <w:b w:val="false"/>
          <w:bCs w:val="false"/>
          <w:shd w:fill="auto" w:val="clear"/>
        </w:rPr>
        <w:tab/>
        <w:tab/>
        <w:tab/>
        <w:tab/>
        <w:tab/>
      </w:r>
      <w:r>
        <w:rPr>
          <w:b w:val="false"/>
          <w:bCs w:val="false"/>
          <w:shd w:fill="FFFF00" w:val="clear"/>
        </w:rPr>
        <w:t xml:space="preserve">quantile normalization, and for each element, it </w:t>
      </w:r>
      <w:r>
        <w:rPr>
          <w:b w:val="false"/>
          <w:bCs w:val="false"/>
          <w:shd w:fill="auto" w:val="clear"/>
        </w:rPr>
        <w:tab/>
        <w:tab/>
        <w:tab/>
        <w:tab/>
        <w:tab/>
      </w:r>
      <w:r>
        <w:rPr>
          <w:b w:val="false"/>
          <w:bCs w:val="false"/>
          <w:shd w:fill="FFFF00" w:val="clear"/>
        </w:rPr>
        <w:t xml:space="preserve">computes the standard deviation and the absolute </w:t>
      </w:r>
      <w:r>
        <w:rPr>
          <w:b w:val="false"/>
          <w:bCs w:val="false"/>
          <w:shd w:fill="auto" w:val="clear"/>
        </w:rPr>
        <w:tab/>
        <w:tab/>
        <w:tab/>
        <w:tab/>
        <w:tab/>
      </w:r>
      <w:r>
        <w:rPr>
          <w:b w:val="false"/>
          <w:bCs w:val="false"/>
          <w:shd w:fill="FFFF00" w:val="clear"/>
        </w:rPr>
        <w:t xml:space="preserve">value of the mean, divides the first by the latter, </w:t>
      </w:r>
      <w:r>
        <w:rPr>
          <w:b w:val="false"/>
          <w:bCs w:val="false"/>
          <w:shd w:fill="auto" w:val="clear"/>
        </w:rPr>
        <w:tab/>
        <w:tab/>
        <w:tab/>
        <w:tab/>
        <w:tab/>
      </w:r>
      <w:r>
        <w:rPr>
          <w:b w:val="false"/>
          <w:bCs w:val="false"/>
          <w:shd w:fill="FFFF00" w:val="clear"/>
        </w:rPr>
        <w:t>and adds it to our CoV_values.</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 xml:space="preserve">The remaining parts perform “clean up” work, where it </w:t>
      </w:r>
      <w:r>
        <w:rPr>
          <w:b w:val="false"/>
          <w:bCs w:val="false"/>
          <w:shd w:fill="auto" w:val="clear"/>
        </w:rPr>
        <w:tab/>
        <w:tab/>
        <w:tab/>
        <w:tab/>
        <w:tab/>
      </w:r>
      <w:r>
        <w:rPr>
          <w:b w:val="false"/>
          <w:bCs w:val="false"/>
          <w:shd w:fill="FFFF00" w:val="clear"/>
        </w:rPr>
        <w:t xml:space="preserve">removes values with 0 variation (by using apply </w:t>
      </w:r>
      <w:r>
        <w:rPr>
          <w:b w:val="false"/>
          <w:bCs w:val="false"/>
          <w:shd w:fill="auto" w:val="clear"/>
        </w:rPr>
        <w:tab/>
        <w:tab/>
        <w:tab/>
        <w:tab/>
        <w:tab/>
      </w:r>
      <w:r>
        <w:rPr>
          <w:b w:val="false"/>
          <w:bCs w:val="false"/>
          <w:shd w:fill="FFFF00" w:val="clear"/>
        </w:rPr>
        <w:t xml:space="preserve">to compute standard deviation for each value in </w:t>
      </w:r>
      <w:r>
        <w:rPr>
          <w:b w:val="false"/>
          <w:bCs w:val="false"/>
          <w:shd w:fill="auto" w:val="clear"/>
        </w:rPr>
        <w:tab/>
        <w:tab/>
        <w:tab/>
        <w:tab/>
        <w:tab/>
      </w:r>
      <w:r>
        <w:rPr>
          <w:b w:val="false"/>
          <w:bCs w:val="false"/>
          <w:shd w:fill="FFFF00" w:val="clear"/>
        </w:rPr>
        <w:t xml:space="preserve">the original data), and also only selects data with </w:t>
      </w:r>
      <w:r>
        <w:rPr>
          <w:b w:val="false"/>
          <w:bCs w:val="false"/>
          <w:shd w:fill="auto" w:val="clear"/>
        </w:rPr>
        <w:tab/>
        <w:tab/>
        <w:tab/>
        <w:tab/>
        <w:tab/>
      </w:r>
      <w:r>
        <w:rPr>
          <w:b w:val="false"/>
          <w:bCs w:val="false"/>
          <w:shd w:fill="FFFF00" w:val="clear"/>
        </w:rPr>
        <w:t>CoV values less than 0.045, but greater than 0.</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There are now 5587 genes.</w:t>
      </w:r>
    </w:p>
    <w:p>
      <w:pPr>
        <w:pStyle w:val="Normal"/>
        <w:rPr>
          <w:b/>
          <w:b/>
        </w:rPr>
      </w:pPr>
      <w:r>
        <w:rPr/>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New" w:hAnsi="Courier New" w:cs="Courier New"/>
          <w:sz w:val="20"/>
          <w:szCs w:val="20"/>
        </w:rPr>
      </w:pPr>
      <w:r>
        <w:rPr/>
      </w:r>
    </w:p>
    <w:p>
      <w:pPr>
        <w:pStyle w:val="Normal"/>
        <w:rPr>
          <w:b/>
          <w:b/>
          <w:bCs/>
        </w:rPr>
      </w:pPr>
      <w:r>
        <w:rPr>
          <w:b/>
          <w:bCs/>
        </w:rPr>
        <w:tab/>
        <w:tab/>
        <w:tab/>
      </w:r>
      <w:r>
        <w:rPr>
          <w:b/>
          <w:bCs/>
          <w:shd w:fill="FFFF00" w:val="clear"/>
        </w:rPr>
        <w:t xml:space="preserve">3. </w:t>
      </w:r>
      <w:r>
        <w:rPr>
          <w:b w:val="false"/>
          <w:bCs w:val="false"/>
          <w:shd w:fill="FFFF00" w:val="clear"/>
        </w:rPr>
        <w:t>There are 2 levels: HC, and MDD.</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4.</w:t>
      </w:r>
    </w:p>
    <w:p>
      <w:pPr>
        <w:pStyle w:val="Normal"/>
        <w:rPr>
          <w:b/>
          <w:b/>
          <w:bCs/>
          <w:highlight w:val="none"/>
          <w:shd w:fill="FFFF00" w:val="clear"/>
        </w:rPr>
      </w:pPr>
      <w:r>
        <w:rPr>
          <w:b/>
          <w:bCs/>
          <w:shd w:fill="FFFF00" w:val="clear"/>
        </w:rPr>
        <w:t xml:space="preserve">    </w:t>
      </w:r>
      <w:r>
        <w:rPr>
          <w:b/>
          <w:bCs/>
          <w:shd w:fill="FFFF00" w:val="clear"/>
        </w:rPr>
        <w:t xml:space="preserve">a: </w:t>
      </w:r>
    </w:p>
    <w:p>
      <w:pPr>
        <w:pStyle w:val="Normal"/>
        <w:rPr>
          <w:b w:val="false"/>
          <w:b w:val="false"/>
          <w:bCs w:val="false"/>
          <w:highlight w:val="none"/>
          <w:shd w:fill="FFFF00" w:val="clear"/>
        </w:rPr>
      </w:pPr>
      <w:r>
        <w:rPr>
          <w:b w:val="false"/>
          <w:bCs w:val="false"/>
          <w:shd w:fill="FFFF00" w:val="clear"/>
        </w:rPr>
        <w:tab/>
        <w:t>data:  mdd and hc</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alternative hypothesis: true difference in means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-0.01003427  0.06355762</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of x mean of y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5.590087  5.563325 </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b:</w:t>
      </w:r>
    </w:p>
    <w:p>
      <w:pPr>
        <w:pStyle w:val="Normal"/>
        <w:rPr>
          <w:b w:val="false"/>
          <w:b w:val="false"/>
          <w:bCs w:val="false"/>
          <w:highlight w:val="none"/>
          <w:shd w:fill="FFFF00" w:val="clear"/>
        </w:rPr>
      </w:pPr>
      <w:r>
        <w:rPr>
          <w:b w:val="false"/>
          <w:bCs w:val="false"/>
          <w:shd w:fill="FFFF00" w:val="clear"/>
        </w:rPr>
        <w:tab/>
        <w:t>data:  GxS.covfilter[myrow, ] by pheno.factor</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 xml:space="preserve">alternative hypothesis: true difference in means between group HC and </w:t>
        <w:tab/>
        <w:tab/>
        <w:t>group MDD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 xml:space="preserve"> -0.06355762  0.01003427</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in group HC mean in group MDD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5.563325          5.590087 </w:t>
      </w:r>
    </w:p>
    <w:p>
      <w:pPr>
        <w:pStyle w:val="Normal"/>
        <w:rPr>
          <w:b/>
          <w:b/>
          <w:bCs/>
        </w:rPr>
      </w:pPr>
      <w:r>
        <w:rPr>
          <w:b w:val="false"/>
          <w:bCs w:val="false"/>
          <w:shd w:fill="FFFF00" w:val="clear"/>
        </w:rPr>
      </w:r>
    </w:p>
    <w:p>
      <w:pPr>
        <w:pStyle w:val="Normal"/>
        <w:rPr>
          <w:b w:val="false"/>
          <w:b w:val="false"/>
          <w:bCs w:val="false"/>
          <w:highlight w:val="none"/>
          <w:shd w:fill="FFFF00" w:val="clear"/>
        </w:rPr>
      </w:pPr>
      <w:r>
        <w:rPr>
          <w:b/>
          <w:bCs/>
          <w:shd w:fill="FFFF00" w:val="clear"/>
        </w:rPr>
        <w:t>Differences:</w:t>
      </w:r>
    </w:p>
    <w:p>
      <w:pPr>
        <w:pStyle w:val="Normal"/>
        <w:rPr>
          <w:b w:val="false"/>
          <w:b w:val="false"/>
          <w:bCs w:val="false"/>
          <w:highlight w:val="none"/>
          <w:shd w:fill="FFFF00" w:val="clear"/>
        </w:rPr>
      </w:pPr>
      <w:r>
        <w:rPr>
          <w:b w:val="false"/>
          <w:bCs w:val="false"/>
          <w:shd w:fill="FFFF00" w:val="clear"/>
        </w:rPr>
        <w:tab/>
        <w:t>“a” has a positive t value, while b is negative. 95% CI is also flipped between a and b, as are the means. All of this is due to group HC being first  in “b”, while group MDD is first in “a”. For “a”, mdd and hc were deliberately set, and in part “b”, the t-test was run by feeding in the pheno.factor. The p-value obtained was 0.15, and the t-test returned a value of 1.436705 with the alternative hypothesis. It can be concluded that the genes are differentially expressed.</w:t>
      </w:r>
    </w:p>
    <w:p>
      <w:pPr>
        <w:pStyle w:val="Normal"/>
        <w:rPr>
          <w:b/>
          <w:b/>
          <w:bCs/>
        </w:rPr>
      </w:pPr>
      <w:r>
        <w:rPr>
          <w:b w:val="false"/>
          <w:bCs w:val="false"/>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highlight w:val="none"/>
          <w:shd w:fill="auto" w:val="clear"/>
        </w:rPr>
      </w:pPr>
      <w:r>
        <w:rPr>
          <w:b/>
          <w:shd w:fill="auto" w:val="clear"/>
        </w:rPr>
        <w:t>5.</w:t>
      </w:r>
      <w:r>
        <w:rPr>
          <w:shd w:fill="auto" w:val="clear"/>
        </w:rPr>
        <w:t xml:space="preserve"> Plot the data.  What gene name was analyzed (which gene is myrow=2)? Would you say this gene is differentially expressed? Why/why not?</w:t>
      </w:r>
    </w:p>
    <w:p>
      <w:pPr>
        <w:pStyle w:val="Normal"/>
        <w:rPr>
          <w:rFonts w:ascii="Courier New" w:hAnsi="Courier New" w:cs="Courier New"/>
          <w:sz w:val="20"/>
          <w:szCs w:val="20"/>
          <w:highlight w:val="none"/>
          <w:shd w:fill="auto" w:val="clear"/>
        </w:rPr>
      </w:pPr>
      <w:r>
        <w:rPr>
          <w:rFonts w:cs="Courier New" w:ascii="Courier New" w:hAnsi="Courier New"/>
          <w:sz w:val="20"/>
          <w:szCs w:val="20"/>
          <w:shd w:fill="auto" w:val="clear"/>
        </w:rPr>
      </w:r>
    </w:p>
    <w:p>
      <w:pPr>
        <w:pStyle w:val="Normal"/>
        <w:rPr>
          <w:highlight w:val="none"/>
          <w:shd w:fill="auto" w:val="clear"/>
        </w:rPr>
      </w:pPr>
      <w:r>
        <w:rPr>
          <w:rFonts w:cs="Courier New" w:ascii="Courier New" w:hAnsi="Courier New"/>
          <w:sz w:val="20"/>
          <w:szCs w:val="20"/>
          <w:shd w:fill="auto" w:val="clear"/>
        </w:rPr>
        <w:t># plot the data</w:t>
      </w:r>
    </w:p>
    <w:p>
      <w:pPr>
        <w:pStyle w:val="Normal"/>
        <w:rPr>
          <w:highlight w:val="none"/>
          <w:shd w:fill="auto" w:val="clear"/>
        </w:rPr>
      </w:pPr>
      <w:r>
        <w:rPr>
          <w:rFonts w:cs="Courier New" w:ascii="Courier New" w:hAnsi="Courier New"/>
          <w:sz w:val="20"/>
          <w:szCs w:val="20"/>
          <w:shd w:fill="auto" w:val="clear"/>
        </w:rPr>
        <w:t>library(ggplot2)</w:t>
      </w:r>
    </w:p>
    <w:p>
      <w:pPr>
        <w:pStyle w:val="Normal"/>
        <w:rPr>
          <w:highlight w:val="none"/>
          <w:shd w:fill="auto" w:val="clear"/>
        </w:rPr>
      </w:pPr>
      <w:r>
        <w:rPr>
          <w:rFonts w:cs="Courier New" w:ascii="Courier New" w:hAnsi="Courier New"/>
          <w:sz w:val="20"/>
          <w:szCs w:val="20"/>
          <w:shd w:fill="auto" w:val="clear"/>
        </w:rPr>
        <w:t># create data frame for gene</w:t>
      </w:r>
    </w:p>
    <w:p>
      <w:pPr>
        <w:pStyle w:val="Normal"/>
        <w:rPr>
          <w:highlight w:val="none"/>
          <w:shd w:fill="auto" w:val="clear"/>
        </w:rPr>
      </w:pPr>
      <w:r>
        <w:rPr>
          <w:rFonts w:cs="Courier New" w:ascii="Courier New" w:hAnsi="Courier New"/>
          <w:sz w:val="20"/>
          <w:szCs w:val="20"/>
          <w:shd w:fill="auto" w:val="clear"/>
        </w:rPr>
        <w:t>mygene.data.df &lt;- data.frame(gene=GxS.covfilter[myrow,],phenotype=pheno.factor)</w:t>
      </w:r>
    </w:p>
    <w:p>
      <w:pPr>
        <w:pStyle w:val="Normal"/>
        <w:rPr>
          <w:highlight w:val="none"/>
          <w:shd w:fill="auto" w:val="clear"/>
        </w:rPr>
      </w:pPr>
      <w:r>
        <w:rPr>
          <w:rFonts w:cs="Courier New" w:ascii="Courier New" w:hAnsi="Courier New"/>
          <w:sz w:val="20"/>
          <w:szCs w:val="20"/>
          <w:shd w:fill="auto" w:val="clear"/>
        </w:rPr>
        <w:t># boxplot</w:t>
      </w:r>
    </w:p>
    <w:p>
      <w:pPr>
        <w:pStyle w:val="Normal"/>
        <w:rPr>
          <w:highlight w:val="none"/>
          <w:shd w:fill="auto" w:val="clear"/>
        </w:rPr>
      </w:pPr>
      <w:r>
        <w:rPr>
          <w:rFonts w:cs="Courier New" w:ascii="Courier New" w:hAnsi="Courier New"/>
          <w:sz w:val="20"/>
          <w:szCs w:val="20"/>
          <w:shd w:fill="auto" w:val="clear"/>
        </w:rPr>
        <w:t>p &lt;- ggplot(mygene.data.df, aes(x=phenotype, y=gene, fill=phenotype)) + stat_boxplot(geom ='errorbar') + geom_boxplot()</w:t>
      </w:r>
    </w:p>
    <w:p>
      <w:pPr>
        <w:pStyle w:val="Normal"/>
        <w:rPr>
          <w:highlight w:val="none"/>
          <w:shd w:fill="auto" w:val="clear"/>
        </w:rPr>
      </w:pPr>
      <w:r>
        <w:rPr>
          <w:b/>
          <w:bCs/>
          <w:shd w:fill="auto" w:val="clear"/>
        </w:rPr>
        <w:tab/>
        <w:tab/>
        <w:t xml:space="preserve">    </w:t>
      </w:r>
      <w:r>
        <w:rPr>
          <w:b/>
          <w:bCs/>
          <w:shd w:fill="FFFF00" w:val="clear"/>
        </w:rPr>
        <w:t>5.</w:t>
      </w:r>
    </w:p>
    <w:p>
      <w:pPr>
        <w:pStyle w:val="Normal"/>
        <w:rPr>
          <w:highlight w:val="none"/>
          <w:shd w:fill="auto" w:val="clear"/>
        </w:rPr>
      </w:pPr>
      <w:r>
        <w:rPr>
          <w:shd w:fill="auto" w:val="clear"/>
        </w:rPr>
        <w:tab/>
        <w:tab/>
        <w:tab/>
      </w:r>
      <w:r>
        <w:rPr>
          <w:shd w:fill="FFFF00" w:val="clear"/>
        </w:rPr>
        <w:t>&gt; rownames(GxS.covfilter)[2]</w:t>
      </w:r>
    </w:p>
    <w:p>
      <w:pPr>
        <w:pStyle w:val="Normal"/>
        <w:rPr>
          <w:highlight w:val="none"/>
          <w:shd w:fill="auto" w:val="clear"/>
        </w:rPr>
      </w:pPr>
      <w:r>
        <w:rPr>
          <w:shd w:fill="auto" w:val="clear"/>
        </w:rPr>
        <w:tab/>
        <w:tab/>
        <w:tab/>
        <w:tab/>
        <w:t xml:space="preserve">   </w:t>
      </w:r>
      <w:r>
        <w:rPr>
          <w:shd w:fill="FFFF00" w:val="clear"/>
        </w:rPr>
        <w:t>[1] "AAK1"</w:t>
      </w:r>
    </w:p>
    <w:p>
      <w:pPr>
        <w:pStyle w:val="Normal"/>
        <w:rPr>
          <w:highlight w:val="none"/>
          <w:shd w:fill="auto" w:val="clear"/>
        </w:rPr>
      </w:pPr>
      <w:r>
        <w:rPr>
          <w:shd w:fill="auto" w:val="clear"/>
        </w:rPr>
        <w:drawing>
          <wp:anchor behindDoc="0" distT="0" distB="0" distL="0" distR="0" simplePos="0" locked="0" layoutInCell="0" allowOverlap="1" relativeHeight="3">
            <wp:simplePos x="0" y="0"/>
            <wp:positionH relativeFrom="column">
              <wp:posOffset>643890</wp:posOffset>
            </wp:positionH>
            <wp:positionV relativeFrom="paragraph">
              <wp:posOffset>129540</wp:posOffset>
            </wp:positionV>
            <wp:extent cx="4220210" cy="49085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220210" cy="4908550"/>
                    </a:xfrm>
                    <a:prstGeom prst="rect">
                      <a:avLst/>
                    </a:prstGeom>
                  </pic:spPr>
                </pic:pic>
              </a:graphicData>
            </a:graphic>
          </wp:anchor>
        </w:drawing>
      </w:r>
    </w:p>
    <w:p>
      <w:pPr>
        <w:pStyle w:val="Normal"/>
        <w:rPr>
          <w:highlight w:val="none"/>
          <w:shd w:fill="auto" w:val="clear"/>
        </w:rPr>
      </w:pPr>
      <w:r>
        <w:rPr>
          <w:shd w:fill="auto" w:val="clear"/>
        </w:rPr>
      </w:r>
    </w:p>
    <w:p>
      <w:pPr>
        <w:pStyle w:val="Normal"/>
        <w:rPr>
          <w:rFonts w:ascii="Courier New" w:hAnsi="Courier New" w:cs="Courier New"/>
          <w:sz w:val="20"/>
          <w:szCs w:val="20"/>
        </w:rPr>
      </w:pPr>
      <w:r>
        <w:rPr>
          <w:shd w:fill="auto" w:val="clea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val="false"/>
          <w:b w:val="false"/>
          <w:bCs w:val="false"/>
          <w:highlight w:val="none"/>
          <w:shd w:fill="FFFF00" w:val="clear"/>
        </w:rPr>
      </w:pPr>
      <w:r>
        <w:rPr>
          <w:b w:val="false"/>
          <w:bCs w:val="false"/>
          <w:shd w:fill="FFFF00" w:val="clear"/>
        </w:rPr>
        <w:t>Yes, this gene is differentially expressed. Comparing the central tendency of MDD and HC, and examining the Q3 for MDD, it is evident that there is a significant value difference between the two, and that there is differential expression.</w:t>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&gt; ttest_fn(2)</w:t>
      </w:r>
    </w:p>
    <w:p>
      <w:pPr>
        <w:pStyle w:val="Normal"/>
        <w:rPr>
          <w:b w:val="false"/>
          <w:b w:val="false"/>
          <w:bCs w:val="false"/>
        </w:rPr>
      </w:pPr>
      <w:r>
        <w:rPr>
          <w:b w:val="false"/>
          <w:bCs w:val="false"/>
        </w:rPr>
        <w:t xml:space="preserve">                                    </w:t>
      </w:r>
      <w:r>
        <w:rPr>
          <w:b w:val="false"/>
          <w:bCs w:val="false"/>
        </w:rPr>
        <w:tab/>
        <w:tab/>
        <w:t xml:space="preserve">      </w:t>
      </w:r>
      <w:r>
        <w:rPr>
          <w:b/>
          <w:bCs/>
          <w:shd w:fill="FFFF00" w:val="clear"/>
        </w:rPr>
        <w:t xml:space="preserve"> t </w:t>
      </w:r>
      <w:r>
        <w:rPr>
          <w:b w:val="false"/>
          <w:bCs w:val="false"/>
        </w:rPr>
        <w:t xml:space="preserve">                    </w:t>
        <w:tab/>
        <w:tab/>
      </w:r>
    </w:p>
    <w:p>
      <w:pPr>
        <w:pStyle w:val="Normal"/>
        <w:rPr>
          <w:b w:val="false"/>
          <w:b w:val="false"/>
          <w:bCs w:val="false"/>
        </w:rPr>
      </w:pPr>
      <w:r>
        <w:rPr>
          <w:b w:val="false"/>
          <w:bCs w:val="false"/>
        </w:rPr>
        <w:t xml:space="preserve">             </w:t>
      </w:r>
      <w:r>
        <w:rPr>
          <w:b/>
          <w:bCs/>
          <w:shd w:fill="FFFF00" w:val="clear"/>
        </w:rPr>
        <w:t xml:space="preserve">"AAK1" "-1.43670544207136" "0.152818373849126" </w:t>
      </w:r>
    </w:p>
    <w:p>
      <w:pPr>
        <w:pStyle w:val="Normal"/>
        <w:rPr>
          <w:b w:val="false"/>
          <w:b w:val="false"/>
          <w:bCs w:val="false"/>
        </w:rPr>
      </w:pPr>
      <w:r>
        <w:rPr>
          <w:b w:val="false"/>
          <w:bCs w:val="false"/>
        </w:rPr>
        <w:tab/>
      </w:r>
      <w:r>
        <w:rPr>
          <w:b w:val="false"/>
          <w:bCs w:val="false"/>
          <w:shd w:fill="FFFF00" w:val="clear"/>
        </w:rPr>
        <w:t>The results are in the format: “gene name”, “t-value”, “p-value”</w:t>
      </w:r>
    </w:p>
    <w:p>
      <w:pPr>
        <w:pStyle w:val="Normal"/>
        <w:rPr>
          <w:b w:val="false"/>
          <w:b w:val="false"/>
          <w:bCs w:val="false"/>
        </w:rPr>
      </w:pPr>
      <w:r>
        <w:rPr>
          <w:b w:val="false"/>
          <w:bCs w:val="false"/>
        </w:rPr>
        <w:tab/>
      </w:r>
      <w:r>
        <w:rPr>
          <w:b w:val="false"/>
          <w:bCs w:val="false"/>
          <w:shd w:fill="FFFF00" w:val="clear"/>
        </w:rPr>
        <w:t>In this case, we can compare the results to those seen in Question 4, and</w:t>
      </w:r>
      <w:r>
        <w:rPr>
          <w:b w:val="false"/>
          <w:bCs w:val="false"/>
        </w:rPr>
        <w:t xml:space="preserve"> </w:t>
        <w:tab/>
      </w:r>
      <w:r>
        <w:rPr>
          <w:b w:val="false"/>
          <w:bCs w:val="false"/>
          <w:shd w:fill="FFFF00" w:val="clear"/>
        </w:rPr>
        <w:t>confirm that the results are the same.</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7.</w:t>
      </w:r>
    </w:p>
    <w:p>
      <w:pPr>
        <w:pStyle w:val="Normal"/>
        <w:rPr>
          <w:b/>
          <w:b/>
          <w:bCs/>
          <w:highlight w:val="none"/>
          <w:shd w:fill="FFFF00" w:val="clear"/>
        </w:rPr>
      </w:pPr>
      <w:r>
        <w:rPr>
          <w:b/>
          <w:bCs/>
          <w:shd w:fill="FFFF00" w:val="clear"/>
        </w:rPr>
        <w:t>&gt; ttest_allgene.sorted[1:10,] # look at top 10</w:t>
      </w:r>
    </w:p>
    <w:p>
      <w:pPr>
        <w:pStyle w:val="Normal"/>
        <w:rPr>
          <w:b/>
          <w:b/>
          <w:bCs/>
          <w:highlight w:val="none"/>
          <w:shd w:fill="FFFF00" w:val="clear"/>
        </w:rPr>
      </w:pPr>
      <w:r>
        <w:rPr>
          <w:b/>
          <w:bCs/>
          <w:shd w:fill="FFFF00" w:val="clear"/>
        </w:rPr>
        <w:t xml:space="preserve">     </w:t>
      </w:r>
      <w:r>
        <w:rPr>
          <w:b/>
          <w:bCs/>
          <w:shd w:fill="FFFF00" w:val="clear"/>
        </w:rPr>
        <w:t>gene             t.stat        p.val</w:t>
      </w:r>
    </w:p>
    <w:p>
      <w:pPr>
        <w:pStyle w:val="Normal"/>
        <w:rPr>
          <w:b w:val="false"/>
          <w:b w:val="false"/>
          <w:bCs w:val="false"/>
          <w:highlight w:val="none"/>
          <w:shd w:fill="FFFF00" w:val="clear"/>
        </w:rPr>
      </w:pPr>
      <w:r>
        <w:rPr>
          <w:b w:val="false"/>
          <w:bCs w:val="false"/>
          <w:shd w:fill="FFFF00" w:val="clear"/>
        </w:rPr>
        <w:t>1    MDGA1 -4.60305377574858 8.769336e-06</w:t>
      </w:r>
    </w:p>
    <w:p>
      <w:pPr>
        <w:pStyle w:val="Normal"/>
        <w:rPr>
          <w:b w:val="false"/>
          <w:b w:val="false"/>
          <w:bCs w:val="false"/>
          <w:highlight w:val="none"/>
          <w:shd w:fill="FFFF00" w:val="clear"/>
        </w:rPr>
      </w:pPr>
      <w:r>
        <w:rPr>
          <w:b w:val="false"/>
          <w:bCs w:val="false"/>
          <w:shd w:fill="FFFF00" w:val="clear"/>
        </w:rPr>
        <w:t>2  ZDHHC20 -4.14665384310082 5.560038e-05</w:t>
      </w:r>
    </w:p>
    <w:p>
      <w:pPr>
        <w:pStyle w:val="Normal"/>
        <w:rPr>
          <w:b w:val="false"/>
          <w:b w:val="false"/>
          <w:bCs w:val="false"/>
          <w:highlight w:val="none"/>
          <w:shd w:fill="FFFF00" w:val="clear"/>
        </w:rPr>
      </w:pPr>
      <w:r>
        <w:rPr>
          <w:b w:val="false"/>
          <w:bCs w:val="false"/>
          <w:shd w:fill="FFFF00" w:val="clear"/>
        </w:rPr>
        <w:t>3     NPFF  3.92088360163192 1.322952e-04</w:t>
      </w:r>
    </w:p>
    <w:p>
      <w:pPr>
        <w:pStyle w:val="Normal"/>
        <w:rPr>
          <w:b w:val="false"/>
          <w:b w:val="false"/>
          <w:bCs w:val="false"/>
          <w:highlight w:val="none"/>
          <w:shd w:fill="FFFF00" w:val="clear"/>
        </w:rPr>
      </w:pPr>
      <w:r>
        <w:rPr>
          <w:b w:val="false"/>
          <w:bCs w:val="false"/>
          <w:shd w:fill="FFFF00" w:val="clear"/>
        </w:rPr>
        <w:t>4  ARFGAP1 -3.84850546153888 1.745521e-04</w:t>
      </w:r>
    </w:p>
    <w:p>
      <w:pPr>
        <w:pStyle w:val="Normal"/>
        <w:rPr>
          <w:b w:val="false"/>
          <w:b w:val="false"/>
          <w:bCs w:val="false"/>
          <w:highlight w:val="none"/>
          <w:shd w:fill="FFFF00" w:val="clear"/>
        </w:rPr>
      </w:pPr>
      <w:r>
        <w:rPr>
          <w:b w:val="false"/>
          <w:bCs w:val="false"/>
          <w:shd w:fill="FFFF00" w:val="clear"/>
        </w:rPr>
        <w:t>5  FAM138A  3.81609056502266 1.977449e-04</w:t>
      </w:r>
    </w:p>
    <w:p>
      <w:pPr>
        <w:pStyle w:val="Normal"/>
        <w:rPr>
          <w:b w:val="false"/>
          <w:b w:val="false"/>
          <w:bCs w:val="false"/>
          <w:highlight w:val="none"/>
          <w:shd w:fill="FFFF00" w:val="clear"/>
        </w:rPr>
      </w:pPr>
      <w:r>
        <w:rPr>
          <w:b w:val="false"/>
          <w:bCs w:val="false"/>
          <w:shd w:fill="FFFF00" w:val="clear"/>
        </w:rPr>
        <w:t>6  IRF2BPL -3.80484711944538 2.037987e-04</w:t>
      </w:r>
    </w:p>
    <w:p>
      <w:pPr>
        <w:pStyle w:val="Normal"/>
        <w:rPr>
          <w:b w:val="false"/>
          <w:b w:val="false"/>
          <w:bCs w:val="false"/>
          <w:highlight w:val="none"/>
          <w:shd w:fill="FFFF00" w:val="clear"/>
        </w:rPr>
      </w:pPr>
      <w:r>
        <w:rPr>
          <w:b w:val="false"/>
          <w:bCs w:val="false"/>
          <w:shd w:fill="FFFF00" w:val="clear"/>
        </w:rPr>
        <w:t>7      UBD -3.77495951345364 2.295039e-04</w:t>
      </w:r>
    </w:p>
    <w:p>
      <w:pPr>
        <w:pStyle w:val="Normal"/>
        <w:rPr>
          <w:b w:val="false"/>
          <w:b w:val="false"/>
          <w:bCs w:val="false"/>
          <w:highlight w:val="none"/>
          <w:shd w:fill="FFFF00" w:val="clear"/>
        </w:rPr>
      </w:pPr>
      <w:r>
        <w:rPr>
          <w:b w:val="false"/>
          <w:bCs w:val="false"/>
          <w:shd w:fill="FFFF00" w:val="clear"/>
        </w:rPr>
        <w:t>8  BCL2L12 -3.70907581977241 2.899766e-04</w:t>
      </w:r>
    </w:p>
    <w:p>
      <w:pPr>
        <w:pStyle w:val="Normal"/>
        <w:rPr>
          <w:b w:val="false"/>
          <w:b w:val="false"/>
          <w:bCs w:val="false"/>
          <w:highlight w:val="none"/>
          <w:shd w:fill="FFFF00" w:val="clear"/>
        </w:rPr>
      </w:pPr>
      <w:r>
        <w:rPr>
          <w:b w:val="false"/>
          <w:bCs w:val="false"/>
          <w:shd w:fill="FFFF00" w:val="clear"/>
        </w:rPr>
        <w:t>9    KANTR  3.69624774873673 3.048811e-04</w:t>
      </w:r>
    </w:p>
    <w:p>
      <w:pPr>
        <w:pStyle w:val="Normal"/>
        <w:rPr>
          <w:b w:val="false"/>
          <w:b w:val="false"/>
          <w:bCs w:val="false"/>
          <w:highlight w:val="none"/>
          <w:shd w:fill="FFFF00" w:val="clear"/>
        </w:rPr>
      </w:pPr>
      <w:r>
        <w:rPr>
          <w:b w:val="false"/>
          <w:bCs w:val="false"/>
          <w:shd w:fill="FFFF00" w:val="clear"/>
        </w:rPr>
        <w:t>10     CBL   -3.694547522781 3.056099e-04</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rFonts w:ascii="Courier New" w:hAnsi="Courier New" w:cs="Courier New"/>
          <w:sz w:val="22"/>
          <w:szCs w:val="22"/>
        </w:rPr>
      </w:pPr>
      <w:r>
        <w:rPr/>
      </w:r>
    </w:p>
    <w:p>
      <w:pPr>
        <w:pStyle w:val="Normal"/>
        <w:rPr>
          <w:b/>
          <w:b/>
          <w:bCs/>
        </w:rPr>
      </w:pPr>
      <w:r>
        <w:rPr>
          <w:b/>
          <w:bCs/>
        </w:rPr>
        <w:t>8.</w:t>
      </w:r>
    </w:p>
    <w:p>
      <w:pPr>
        <w:pStyle w:val="Normal"/>
        <w:rPr>
          <w:b/>
          <w:b/>
          <w:bCs/>
        </w:rPr>
      </w:pPr>
      <w:r>
        <w:rPr>
          <w:b/>
          <w:bCs/>
          <w:shd w:fill="FFFF00" w:val="clear"/>
        </w:rPr>
        <w:t>myrow &lt;- which(ttest_allgene.df$gene==ttest_allgene.sorted[1,1])</w:t>
      </w:r>
    </w:p>
    <w:p>
      <w:pPr>
        <w:pStyle w:val="Normal"/>
        <w:rPr>
          <w:b/>
          <w:b/>
          <w:bCs/>
          <w:highlight w:val="none"/>
          <w:shd w:fill="FFFF00" w:val="clear"/>
        </w:rPr>
      </w:pPr>
      <w:r>
        <w:rPr>
          <w:b/>
          <w:bCs/>
          <w:shd w:fill="FFFF00" w:val="clear"/>
        </w:rPr>
        <w:drawing>
          <wp:anchor behindDoc="0" distT="0" distB="0" distL="0" distR="0" simplePos="0" locked="0" layoutInCell="0" allowOverlap="1" relativeHeight="4">
            <wp:simplePos x="0" y="0"/>
            <wp:positionH relativeFrom="column">
              <wp:posOffset>-42545</wp:posOffset>
            </wp:positionH>
            <wp:positionV relativeFrom="paragraph">
              <wp:posOffset>317500</wp:posOffset>
            </wp:positionV>
            <wp:extent cx="6029325" cy="55981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029325" cy="5598160"/>
                    </a:xfrm>
                    <a:prstGeom prst="rect">
                      <a:avLst/>
                    </a:prstGeom>
                  </pic:spPr>
                </pic:pic>
              </a:graphicData>
            </a:graphic>
          </wp:anchor>
        </w:drawing>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5">
        <w:r>
          <w:rPr>
            <w:rStyle w:val="InternetLink"/>
            <w:bCs/>
          </w:rPr>
          <w:t>https://www.ncbi.nlm.nih.gov/gene/</w:t>
        </w:r>
      </w:hyperlink>
    </w:p>
    <w:p>
      <w:pPr>
        <w:pStyle w:val="Normal"/>
        <w:rPr>
          <w:bCs/>
        </w:rPr>
      </w:pPr>
      <w:r>
        <w:rPr/>
      </w:r>
    </w:p>
    <w:p>
      <w:pPr>
        <w:pStyle w:val="Normal"/>
        <w:rPr>
          <w:b/>
          <w:b/>
          <w:bCs/>
          <w:highlight w:val="none"/>
          <w:shd w:fill="FFFF00" w:val="clear"/>
        </w:rPr>
      </w:pPr>
      <w:r>
        <w:rPr>
          <w:b/>
          <w:bCs/>
          <w:shd w:fill="FFFF00" w:val="clear"/>
        </w:rPr>
        <w:t>9.</w:t>
      </w:r>
    </w:p>
    <w:p>
      <w:pPr>
        <w:pStyle w:val="Normal"/>
        <w:rPr>
          <w:b w:val="false"/>
          <w:b w:val="false"/>
          <w:bCs w:val="false"/>
          <w:highlight w:val="none"/>
          <w:shd w:fill="FFFF00" w:val="clear"/>
        </w:rPr>
      </w:pPr>
      <w:r>
        <w:rPr>
          <w:b w:val="false"/>
          <w:bCs w:val="false"/>
          <w:shd w:fill="FFFF00" w:val="clear"/>
        </w:rPr>
        <w:t>From NCBI: “MDGAs regulate the formation of neuroligin-neurexin trans-synaptic bridges by sterically blocking access of neurexins to neuroligins.”</w:t>
      </w:r>
    </w:p>
    <w:p>
      <w:pPr>
        <w:pStyle w:val="Normal"/>
        <w:rPr>
          <w:b w:val="false"/>
          <w:b w:val="false"/>
          <w:bCs w:val="false"/>
          <w:highlight w:val="none"/>
          <w:shd w:fill="FFFF00" w:val="clear"/>
        </w:rPr>
      </w:pPr>
      <w:r>
        <w:rPr>
          <w:b w:val="false"/>
          <w:bCs w:val="false"/>
          <w:shd w:fill="FFFF00" w:val="clear"/>
        </w:rPr>
        <w:t>Numerous related articles in PubMed, as well as the summary of the gene on NCBI, state that this gene is associated with bipolar disorder and schizophrenia.</w:t>
      </w:r>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b/>
          <w:b/>
          <w:bCs/>
          <w:highlight w:val="none"/>
          <w:shd w:fill="FFFF00" w:val="clear"/>
        </w:rPr>
      </w:pPr>
      <w:r>
        <w:rPr>
          <w:b/>
          <w:bCs/>
          <w:shd w:fill="FFFF00" w:val="clear"/>
        </w:rPr>
        <w:t>10.</w:t>
      </w:r>
    </w:p>
    <w:p>
      <w:pPr>
        <w:pStyle w:val="Normal"/>
        <w:rPr>
          <w:b/>
          <w:b/>
          <w:bCs/>
        </w:rPr>
      </w:pPr>
      <w:r>
        <w:rPr>
          <w:b w:val="false"/>
          <w:bCs w:val="false"/>
          <w:shd w:fill="FFFF00" w:val="clear"/>
        </w:rPr>
        <w:t xml:space="preserve">The top enriched geneset/pathway is a post-translational protein modification: </w:t>
      </w:r>
      <w:hyperlink r:id="rId6">
        <w:r>
          <w:rPr>
            <w:rStyle w:val="InternetLink"/>
            <w:b w:val="false"/>
            <w:bCs w:val="false"/>
            <w:shd w:fill="FFFF00" w:val="clear"/>
          </w:rPr>
          <w:t>http://www.gsea-msigdb.org/gsea/msigdb/human/geneset/REACTOME_POST_TRANSLATIONAL_PROTEIN_MODIFICATION.html</w:t>
        </w:r>
      </w:hyperlink>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FFFF00" w:val="clear"/>
        </w:rPr>
        <w:t>There are 23 genes that overlap, and they are:</w:t>
      </w:r>
    </w:p>
    <w:p>
      <w:pPr>
        <w:pStyle w:val="Normal"/>
        <w:rPr>
          <w:b w:val="false"/>
          <w:b w:val="false"/>
          <w:bCs w:val="false"/>
        </w:rPr>
      </w:pPr>
      <w:r>
        <w:rPr>
          <w:b/>
          <w:bCs/>
          <w:shd w:fill="FFFF00" w:val="clear"/>
        </w:rPr>
      </w:r>
    </w:p>
    <w:tbl>
      <w:tblPr>
        <w:tblW w:w="2412" w:type="dxa"/>
        <w:jc w:val="left"/>
        <w:tblInd w:w="-30" w:type="dxa"/>
        <w:tblLayout w:type="fixed"/>
        <w:tblCellMar>
          <w:top w:w="0" w:type="dxa"/>
          <w:left w:w="30" w:type="dxa"/>
          <w:bottom w:w="0" w:type="dxa"/>
          <w:right w:w="30" w:type="dxa"/>
        </w:tblCellMar>
      </w:tblPr>
      <w:tblGrid>
        <w:gridCol w:w="2412"/>
      </w:tblGrid>
      <w:tr>
        <w:trPr>
          <w:trHeight w:val="256" w:hRule="atLeast"/>
        </w:trPr>
        <w:tc>
          <w:tcPr>
            <w:tcW w:w="2412" w:type="dxa"/>
            <w:tcBorders/>
            <w:vAlign w:val="bottom"/>
          </w:tcPr>
          <w:p>
            <w:pPr>
              <w:pStyle w:val="Normal"/>
              <w:tabs>
                <w:tab w:val="clear" w:pos="720"/>
              </w:tabs>
              <w:jc w:val="left"/>
              <w:rPr>
                <w:highlight w:val="none"/>
                <w:shd w:fill="FFFF00" w:val="clear"/>
              </w:rPr>
            </w:pPr>
            <w:r>
              <w:rPr>
                <w:b w:val="false"/>
                <w:bCs w:val="false"/>
                <w:shd w:fill="FFFF00" w:val="clear"/>
              </w:rPr>
              <w:t>NUP88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DDX58</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TUSC3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ST3GAL3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PSMD1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NFE2L2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RBBP5</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MEN1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NR1H2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BTBD1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KLHL22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CDC20</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UBD</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TADA3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SUMO3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MITF</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VDAC3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ARFGAP3</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COG2</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PIGH</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MDGA1</w:t>
            </w:r>
          </w:p>
        </w:tc>
      </w:tr>
      <w:tr>
        <w:trPr>
          <w:trHeight w:val="256" w:hRule="atLeast"/>
        </w:trPr>
        <w:tc>
          <w:tcPr>
            <w:tcW w:w="2412" w:type="dxa"/>
            <w:tcBorders/>
            <w:vAlign w:val="bottom"/>
          </w:tcPr>
          <w:p>
            <w:pPr>
              <w:pStyle w:val="Normal"/>
              <w:tabs>
                <w:tab w:val="clear" w:pos="720"/>
              </w:tabs>
              <w:jc w:val="left"/>
              <w:rPr>
                <w:highlight w:val="none"/>
                <w:shd w:fill="FFFF00" w:val="clear"/>
              </w:rPr>
            </w:pPr>
            <w:r>
              <w:rPr>
                <w:shd w:fill="FFFF00" w:val="clear"/>
              </w:rPr>
              <w:t>TNC</w:t>
            </w:r>
          </w:p>
        </w:tc>
      </w:tr>
    </w:tbl>
    <w:p>
      <w:pPr>
        <w:pStyle w:val="Normal"/>
        <w:rPr>
          <w:highlight w:val="none"/>
          <w:shd w:fill="FFFF00" w:val="clear"/>
        </w:rPr>
      </w:pPr>
      <w:r>
        <w:rPr>
          <w:shd w:fill="FFFF00" w:val="clear"/>
        </w:rPr>
      </w:r>
    </w:p>
    <w:p>
      <w:pPr>
        <w:pStyle w:val="Normal"/>
        <w:rPr>
          <w:b w:val="false"/>
          <w:b w:val="false"/>
          <w:bCs w:val="false"/>
        </w:rPr>
      </w:pPr>
      <w:r>
        <w:rPr>
          <w:b/>
          <w:bCs/>
        </w:rPr>
      </w:r>
    </w:p>
    <w:p>
      <w:pPr>
        <w:pStyle w:val="Normal"/>
        <w:rPr/>
      </w:pPr>
      <w:r>
        <w:rPr/>
      </w:r>
    </w:p>
    <w:p>
      <w:pPr>
        <w:pStyle w:val="Normal"/>
        <w:rPr>
          <w:color w:val="0000FF" w:themeColor="hyperlink"/>
          <w:u w:val="single"/>
        </w:rPr>
      </w:pPr>
      <w:hyperlink r:id="rId7">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b/>
          <w:b/>
          <w:bCs/>
          <w:highlight w:val="none"/>
          <w:shd w:fill="FFFF00" w:val="clear"/>
        </w:rPr>
      </w:pPr>
      <w:r>
        <w:rPr>
          <w:b/>
          <w:bCs/>
          <w:shd w:fill="FFFF00" w:val="clear"/>
        </w:rPr>
        <w:t>Opt 1.</w:t>
      </w:r>
    </w:p>
    <w:p>
      <w:pPr>
        <w:pStyle w:val="Normal"/>
        <w:rPr>
          <w:b/>
          <w:b/>
          <w:bCs/>
        </w:rPr>
      </w:pPr>
      <w:r>
        <w:rPr>
          <w:b w:val="false"/>
          <w:bCs w:val="false"/>
          <w:shd w:fill="FFFF00" w:val="clear"/>
        </w:rPr>
        <w:t>Using the “1.5x” above or below rule, we can compute the following in R:</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1.5x above third quartile:</w:t>
      </w:r>
    </w:p>
    <w:p>
      <w:pPr>
        <w:pStyle w:val="Normal"/>
        <w:rPr>
          <w:b/>
          <w:b/>
          <w:bCs/>
        </w:rPr>
      </w:pPr>
      <w:r>
        <w:rPr>
          <w:b w:val="false"/>
          <w:bCs w:val="false"/>
          <w:shd w:fill="FFFF00" w:val="clear"/>
        </w:rPr>
        <w:t>which(d&gt;1.5*quantile(d)[4])</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1.5x below first quartile:</w:t>
      </w:r>
    </w:p>
    <w:p>
      <w:pPr>
        <w:pStyle w:val="Normal"/>
        <w:rPr>
          <w:b/>
          <w:b/>
          <w:bCs/>
        </w:rPr>
      </w:pPr>
      <w:r>
        <w:rPr>
          <w:b w:val="false"/>
          <w:bCs w:val="false"/>
          <w:shd w:fill="FFFF00" w:val="clear"/>
        </w:rPr>
        <w:t>which(d&lt;1.5*quantile(d)[2])</w:t>
      </w:r>
    </w:p>
    <w:p>
      <w:pPr>
        <w:pStyle w:val="Normal"/>
        <w:rPr>
          <w:b w:val="false"/>
          <w:b w:val="false"/>
          <w:bCs w:val="false"/>
          <w:highlight w:val="none"/>
          <w:shd w:fill="FFFF00" w:val="clear"/>
        </w:rPr>
      </w:pPr>
      <w:r>
        <w:rPr>
          <w:b/>
          <w:bCs/>
        </w:rPr>
      </w:r>
    </w:p>
    <w:p>
      <w:pPr>
        <w:pStyle w:val="Normal"/>
        <w:rPr>
          <w:b/>
          <w:b/>
          <w:bCs/>
        </w:rPr>
      </w:pPr>
      <w:r>
        <w:rPr>
          <w:b w:val="false"/>
          <w:bCs w:val="false"/>
          <w:shd w:fill="FFFF00" w:val="clear"/>
        </w:rPr>
        <w:t>Histogram:</w:t>
      </w:r>
    </w:p>
    <w:p>
      <w:pPr>
        <w:pStyle w:val="Normal"/>
        <w:rPr>
          <w:b w:val="false"/>
          <w:b w:val="false"/>
          <w:bCs w:val="false"/>
          <w:highlight w:val="none"/>
          <w:shd w:fill="FFFF00" w:val="clear"/>
        </w:rPr>
      </w:pPr>
      <w:r>
        <w:rPr>
          <w:b/>
          <w:bCs/>
        </w:rPr>
        <w:drawing>
          <wp:anchor behindDoc="0" distT="0" distB="0" distL="0" distR="0" simplePos="0" locked="0" layoutInCell="0" allowOverlap="1" relativeHeight="5">
            <wp:simplePos x="0" y="0"/>
            <wp:positionH relativeFrom="column">
              <wp:posOffset>433705</wp:posOffset>
            </wp:positionH>
            <wp:positionV relativeFrom="paragraph">
              <wp:posOffset>-675640</wp:posOffset>
            </wp:positionV>
            <wp:extent cx="5076190" cy="5904230"/>
            <wp:effectExtent l="0" t="0" r="0" b="0"/>
            <wp:wrapSquare wrapText="lef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8"/>
                    <a:stretch>
                      <a:fillRect/>
                    </a:stretch>
                  </pic:blipFill>
                  <pic:spPr bwMode="auto">
                    <a:xfrm>
                      <a:off x="0" y="0"/>
                      <a:ext cx="5076190" cy="5904230"/>
                    </a:xfrm>
                    <a:prstGeom prst="rect">
                      <a:avLst/>
                    </a:prstGeom>
                  </pic:spPr>
                </pic:pic>
              </a:graphicData>
            </a:graphic>
          </wp:anchor>
        </w:drawing>
      </w:r>
    </w:p>
    <w:p>
      <w:pPr>
        <w:pStyle w:val="Normal"/>
        <w:rPr>
          <w:b w:val="false"/>
          <w:b w:val="false"/>
          <w:bCs w:val="false"/>
          <w:highlight w:val="none"/>
          <w:shd w:fill="FFFF00" w:val="clear"/>
        </w:rPr>
      </w:pPr>
      <w:r>
        <w:rPr>
          <w:b/>
          <w:bCs/>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Fonts w:cs="Courier New" w:ascii="Courier New" w:hAnsi="Courier New"/>
          <w:b/>
          <w:bCs/>
          <w:sz w:val="20"/>
          <w:szCs w:val="20"/>
        </w:rPr>
        <w:t xml:space="preserve">   </w:t>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b w:val="false"/>
          <w:bCs w:val="false"/>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b/>
        <w:t>Using the 1.5x rule, and even from just examining the histogram, there are a large number of genes that could be considered outliers. The “main” outlier however is evident from the tree, and its distance is identifiable by max(d): AI270.</w:t>
      </w:r>
    </w:p>
    <w:p>
      <w:pPr>
        <w:pStyle w:val="Normal"/>
        <w:rPr>
          <w:b w:val="false"/>
          <w:b w:val="false"/>
          <w:bCs w:val="false"/>
          <w:highlight w:val="none"/>
          <w:shd w:fill="FFFF00" w:val="clear"/>
        </w:rPr>
      </w:pPr>
      <w:r>
        <w:rPr>
          <w:b w:val="false"/>
          <w:bCs w:val="false"/>
          <w:shd w:fill="FFFF00" w:val="clear"/>
        </w:rPr>
        <w:tab/>
        <w:t xml:space="preserve">If only a single outlier would be removed, then it is arguably better to not remove it. Assuming AI270 is removed but no others would be removed, gene AA365 would then become a noticeable outlier, and the same question could be posed to this subject. Likewise, if AA365 would be removed, then AD665 would become a noticeable outlier. </w:t>
      </w:r>
    </w:p>
    <w:p>
      <w:pPr>
        <w:pStyle w:val="Normal"/>
        <w:rPr>
          <w:b w:val="false"/>
          <w:b w:val="false"/>
          <w:bCs w:val="false"/>
          <w:highlight w:val="none"/>
          <w:shd w:fill="FFFF00" w:val="clear"/>
        </w:rPr>
      </w:pPr>
      <w:r>
        <w:rPr>
          <w:b w:val="false"/>
          <w:bCs w:val="false"/>
          <w:shd w:fill="FFFF00" w:val="clear"/>
        </w:rPr>
        <w:tab/>
        <w:t>Either the data should be filtered entirely, or it should be left as-is. Manually removing individual subjects raises the question of how it ensures data integrity, especially since it would get more subjective as more data is cut. Establishing a filtering heuristic to remove multiple outliers is the best option in this case.</w:t>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Fonts w:cs="Courier New" w:ascii="Courier New" w:hAnsi="Courier New"/>
          <w:b/>
          <w:bCs/>
          <w:sz w:val="20"/>
          <w:szCs w:val="20"/>
        </w:rPr>
        <w:t>Optional 2. Compare MDS and UMAP clustering of observations. One thing to</w:t>
      </w:r>
    </w:p>
    <w:p>
      <w:pPr>
        <w:pStyle w:val="Normal"/>
        <w:rPr>
          <w:rFonts w:ascii="Courier New" w:hAnsi="Courier New" w:cs="Courier New"/>
          <w:b/>
          <w:b/>
          <w:bCs/>
          <w:sz w:val="20"/>
          <w:szCs w:val="20"/>
        </w:rPr>
      </w:pPr>
      <w:r>
        <w:rPr>
          <w:rFonts w:cs="Courier New" w:ascii="Courier New" w:hAnsi="Courier New"/>
          <w:b/>
          <w:bCs/>
          <w:sz w:val="20"/>
          <w:szCs w:val="20"/>
        </w:rPr>
        <w:t xml:space="preserve">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drawing>
          <wp:anchor behindDoc="0" distT="0" distB="0" distL="0" distR="0" simplePos="0" locked="0" layoutInCell="0" allowOverlap="1" relativeHeight="6">
            <wp:simplePos x="0" y="0"/>
            <wp:positionH relativeFrom="column">
              <wp:posOffset>430530</wp:posOffset>
            </wp:positionH>
            <wp:positionV relativeFrom="paragraph">
              <wp:posOffset>160020</wp:posOffset>
            </wp:positionV>
            <wp:extent cx="4498975" cy="523240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9"/>
                    <a:stretch>
                      <a:fillRect/>
                    </a:stretch>
                  </pic:blipFill>
                  <pic:spPr bwMode="auto">
                    <a:xfrm>
                      <a:off x="0" y="0"/>
                      <a:ext cx="4498975" cy="523240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7">
            <wp:simplePos x="0" y="0"/>
            <wp:positionH relativeFrom="column">
              <wp:posOffset>460375</wp:posOffset>
            </wp:positionH>
            <wp:positionV relativeFrom="paragraph">
              <wp:posOffset>-33655</wp:posOffset>
            </wp:positionV>
            <wp:extent cx="4616450" cy="532701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10"/>
                    <a:stretch>
                      <a:fillRect/>
                    </a:stretch>
                  </pic:blipFill>
                  <pic:spPr bwMode="auto">
                    <a:xfrm>
                      <a:off x="0" y="0"/>
                      <a:ext cx="4616450" cy="5327015"/>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highlight w:val="none"/>
          <w:shd w:fill="FFFF00" w:val="clear"/>
        </w:rPr>
      </w:pPr>
      <w:r>
        <w:rPr>
          <w:shd w:fill="FFFF00" w:val="clear"/>
        </w:rPr>
        <w:t>Comparing</w:t>
      </w:r>
      <w:r>
        <w:rPr>
          <w:shd w:fill="FFFF00" w:val="clear"/>
        </w:rPr>
        <w:t xml:space="preserve"> the </w:t>
      </w:r>
      <w:r>
        <w:rPr>
          <w:shd w:fill="FFFF00" w:val="clear"/>
        </w:rPr>
        <w:t>UMAP and MDS clustering, there are noticeable visual differences. With MDS, most genes (for the most part) are centrally located. The largest outlier, AI270, is very distant in comparison to the central location of most genes. It is also fairly easy to spot the other potential outliers, such as the ones at roughly (0.00, 0.13), (0.14, -0.02), and (-0.03, -0.11). The mixing of MDD is and HC is fairly even, and apart from a few exceptions, it would not be easy to draw clusters based off MDS.</w:t>
      </w:r>
    </w:p>
    <w:p>
      <w:pPr>
        <w:pStyle w:val="Normal"/>
        <w:rPr>
          <w:highlight w:val="none"/>
          <w:shd w:fill="FFFF00" w:val="clear"/>
        </w:rPr>
      </w:pPr>
      <w:r>
        <w:rPr>
          <w:shd w:fill="FFFF00" w:val="clear"/>
        </w:rPr>
      </w:r>
    </w:p>
    <w:p>
      <w:pPr>
        <w:pStyle w:val="Normal"/>
        <w:rPr>
          <w:highlight w:val="none"/>
          <w:shd w:fill="FFFF00" w:val="clear"/>
        </w:rPr>
      </w:pPr>
      <w:r>
        <w:rPr>
          <w:shd w:fill="FFFF00" w:val="clear"/>
        </w:rPr>
        <w:t>UMAP, on the other hand, has the genes much more spread out. Rather than most being centrally located with a few outliers, it appears as though computing the average pairwise distance between all genes in the UMAP transformation would be much greater than that for MDS. It is much harder to identify the outliers since they are well incorporated. Though it would still be difficult, it is a bit easier to spot areas that can be clustered together. Since the results are more spread out, there is less overlap, and genes can therefore be clustered together a bit easier.</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s>
</file>

<file path=word/settings.xml><?xml version="1.0" encoding="utf-8"?>
<w:settings xmlns:w="http://schemas.openxmlformats.org/wordprocessingml/2006/main">
  <w:zoom w:percent="75"/>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ncbi.nlm.nih.gov/gene/" TargetMode="External"/><Relationship Id="rId5" Type="http://schemas.openxmlformats.org/officeDocument/2006/relationships/hyperlink" Target="" TargetMode="External"/><Relationship Id="rId6" Type="http://schemas.openxmlformats.org/officeDocument/2006/relationships/hyperlink" Target="http://www.gsea-msigdb.org/gsea/msigdb/human/geneset/REACTOME_POST_TRANSLATIONAL_PROTEIN_MODIFICATION.html" TargetMode="External"/><Relationship Id="rId7" Type="http://schemas.openxmlformats.org/officeDocument/2006/relationships/hyperlink" Target="http://www.broadinstitute.org/gsea/msigdb/annotate.jsp"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1599</TotalTime>
  <Application>LibreOffice/7.4.1.2$Linux_X86_64 LibreOffice_project/40$Build-2</Application>
  <AppVersion>15.0000</AppVersion>
  <Pages>14</Pages>
  <Words>2104</Words>
  <Characters>12247</Characters>
  <CharactersWithSpaces>14693</CharactersWithSpaces>
  <Paragraphs>230</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2022-09-30T13:06:35Z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